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Performance marketing and marketing technology leader combining hands-on paid acquisition, funnel experimentation, forecasting, and AI-assisted workflow development. Increased monthly marketing volume fourfold while improving ROAS from 1.5 to 3.5. Built automated reporting across more than 10 channels using Python, SQL, Databricks, and Funnel.io, and used regression models to guide investment recommendations. Brings experience in lead generation, landing-page optimization, attribution, paid search and social, and building AI-powered marketing analysis tools that turn performance data into prioritized recommendations and repeatable workflows.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Lines/>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keepLines/>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Built conversion and attribution models and designed A/B and multivariate tests across multiple levels of the marketing funnel</w:t>
      </w:r>
    </w:p>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keepLines/>
        <w:spacing w:before="0" w:after="20" w:line="276" w:lineRule="auto"/>
        <w:ind w:left="259"/>
        <w:jc w:val="left"/>
      </w:pPr>
      <w:r>
        <w:rPr>
          <w:rFonts w:ascii="EB Garamond" w:hAnsi="EB Garamond"/>
          <w:b w:val="0"/>
          <w:sz w:val="22"/>
        </w:rPr>
        <w:t>Directed keyword strategy, bid experiments, landing-page optimization, ad copy, audience analysis, CRO, attribution, and A/B and multivariate testing</w:t>
      </w:r>
    </w:p>
    <w:p>
      <w:pPr>
        <w:pStyle w:val="ListBullet"/>
        <w:keepLines/>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keepLines/>
        <w:spacing w:before="0" w:after="20" w:line="276" w:lineRule="auto"/>
        <w:ind w:left="259"/>
        <w:jc w:val="left"/>
      </w:pPr>
      <w:r>
        <w:rPr>
          <w:rFonts w:ascii="EB Garamond" w:hAnsi="EB Garamond"/>
          <w:b w:val="0"/>
          <w:sz w:val="22"/>
        </w:rPr>
        <w:t>Managed all paid search campaigns, outreach, lead generation, and customer acquisition for a large E-Commerce company in the United States, Canada, and the UK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pStyle w:val="ListBullet"/>
        <w:keepLines/>
        <w:spacing w:before="0" w:after="20" w:line="276" w:lineRule="auto"/>
        <w:ind w:left="259"/>
        <w:jc w:val="left"/>
      </w:pPr>
      <w:r>
        <w:rPr>
          <w:rFonts w:ascii="EB Garamond" w:hAnsi="EB Garamond"/>
          <w:b w:val="0"/>
          <w:sz w:val="22"/>
        </w:rPr>
        <w:t>Generated and tracked prospective clients and business associates using a marketing-oriented database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HubSpot • Google Tag Manager • Google Search Console • Google Ads • Google Analytics 4 • Power BI • Google Ads Editor • Meta Ads • Funnel.io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gecko-job:scout-2932</dc:identifier>
</cp:coreProperties>
</file>