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E-commerce growth marketer who combines budget discipline with hands-on work on the shopping experience. Helped modernize a B2B distributor and add B2C e-commerce channels while protecting relationships with 650+ retail partners.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/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12 accounts, 32 campaigns, 110k Ad Groups, 1.6 million keywords, with a $3.6 million/month spend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advanced keyword research, channel analysis, trend monitoring, acquisition analysis, conversion-path and funnel analysis, landing-page optimization, and conversion-rate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gecko-job:01f4656c-3f13-4f82-acc7-3e277f0887c0</dc:identifier>
</cp:coreProperties>
</file>