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and e-commerce leader with 14+ years of experience spanning consumer acquisition, marketplace growth, cross-functional execution, and budget management. Expanded B2C channels while protecting relationships with 650+ retail partners, worked extensively with Amazon Vendor and Seller Central, and increased monthly marketing volume fourfold while improving ROAS from 1.5 to 3.5. Combines client relationship management with campaign analysis across CPC, CPA, and customer lifetime value to guide investment and improve performance. Fluent in Spanish.</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Data Visualization</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Marketing Technology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Following successful optimization work, evaluated management’s question of where and why to invest an additional $10 million. Used regression models based on prior-year and prior-period data to forecast outcomes and support investment recommendations involving holdouts, geographic promotional offers, scale-ups, scale-downs, and budget reallocations across channels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Analyzed maximum CPC versus smart bidding, brand CPC optimization, brand and non-brand target CPA, incremental CPA during scale-ups and scale-downs, omnichannel brand holdouts, data-driven attribution (DDA), and the Performance Max/Google Shopping mix</w:t>
      </w:r>
    </w:p>
    <w:p>
      <w:pPr>
        <w:pStyle w:val="ListBullet"/>
        <w:keepLines/>
        <w:spacing w:before="0" w:after="20" w:line="276" w:lineRule="auto"/>
        <w:ind w:left="259"/>
        <w:jc w:val="left"/>
      </w:pPr>
      <w:r>
        <w:rPr>
          <w:rFonts w:ascii="EB Garamond" w:hAnsi="EB Garamond"/>
          <w:b w:val="0"/>
          <w:sz w:val="22"/>
        </w:rPr>
        <w:t>Conducted customer lifetime value (LTV) analysis, affiliate commission analysis and discount negotiation, and AI-assisted promotion performance analysis using Namogoo</w:t>
      </w:r>
    </w:p>
    <w:p>
      <w:pPr>
        <w:pStyle w:val="ListBullet"/>
        <w:keepLines/>
        <w:spacing w:before="0" w:after="20" w:line="276" w:lineRule="auto"/>
        <w:ind w:left="259"/>
        <w:jc w:val="left"/>
      </w:pPr>
      <w:r>
        <w:rPr>
          <w:rFonts w:ascii="EB Garamond" w:hAnsi="EB Garamond"/>
          <w:b w:val="0"/>
          <w:sz w:val="22"/>
        </w:rPr>
        <w:t>Created a customized reporting system using Python, Databricks, SQL, blended Excel data, and Funnel.io to automatically collect data weekly from more than 10 marketing channels, improve reporting accuracy, and accelerate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Lines/>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p>
      <w:pPr>
        <w:pStyle w:val="ListBullet"/>
        <w:keepLines/>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keepLines/>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p>
      <w:pPr>
        <w:pStyle w:val="ListBullet"/>
        <w:keepLines/>
        <w:spacing w:before="0" w:after="20" w:line="276" w:lineRule="auto"/>
        <w:ind w:left="259"/>
        <w:jc w:val="left"/>
      </w:pPr>
      <w:r>
        <w:rPr>
          <w:rFonts w:ascii="EB Garamond" w:hAnsi="EB Garamond"/>
          <w:b w:val="0"/>
          <w:sz w:val="22"/>
        </w:rPr>
        <w:t>Developed a repeatable Google Ads account-management system that maintained consistent service quality across clients regardless of spend; the system was adopted across the agency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keepLines/>
        <w:spacing w:before="0" w:after="20" w:line="276" w:lineRule="auto"/>
        <w:ind w:left="259"/>
        <w:jc w:val="left"/>
      </w:pPr>
      <w:r>
        <w:rPr>
          <w:rFonts w:ascii="EB Garamond" w:hAnsi="EB Garamond"/>
          <w:b w:val="0"/>
          <w:sz w:val="22"/>
        </w:rPr>
        <w:t>Developed affiliate-program strategy and created search/display ad copy using Adobe design software</w:t>
      </w:r>
    </w:p>
    <w:p>
      <w:pPr>
        <w:pStyle w:val="ListBullet"/>
        <w:keepLines/>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Conducted comprehensive market research, persuaded management to add new services, and oversaw their development and implementation. Worked with leadership to create tax and finance departments that together contributed more than 25% of firm revenue</w:t>
      </w:r>
    </w:p>
    <w:p>
      <w:pPr>
        <w:pStyle w:val="ListBullet"/>
        <w:keepLines/>
        <w:spacing w:before="0" w:after="20" w:line="276" w:lineRule="auto"/>
        <w:ind w:left="259"/>
        <w:jc w:val="left"/>
      </w:pPr>
      <w:r>
        <w:rPr>
          <w:rFonts w:ascii="EB Garamond" w:hAnsi="EB Garamond"/>
          <w:b w:val="0"/>
          <w:sz w:val="22"/>
        </w:rPr>
        <w:t>Developed and managed content strategy covering timing, content type, placement across blogs, mail, email, and the website,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Amazon Seller Central • Amazon Vendor Central • Google Ads • Microsoft Ads • Google Analytics 4 • Google Search Console • Looker Studio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gecko-job:scout-2904</dc:identifier>
</cp:coreProperties>
</file>