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Used market research and business planning to help establish tax and finance departments that contributed more than 25% of firm revenue.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and non-brand target CPA, Performance Max and Shopping mix, audience performance, data-driven attribution, and incremental CPA.</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Funnel testing for reach, comparison, conversion (micro-included), and then internal LTV testing, Click-to-Call systems assessment,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Tag Manager • Google Search Console • Google Ads Editor • Bing Ads Editor • Meta Ads • Funnel.io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gecko-job:37133243-2dbc-4dab-afe9-084dfe0570ee</dc:identifier>
</cp:coreProperties>
</file>