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14+ years of experience translating audience research, business priorities, and performance analysis into multichannel strategy, campaign execution, and leadership recommendations. Led cross-functional teams and client programs spanning paid media, content, creative, and e-commerce. Increased monthly marketing volume fourfold while improving ROAS from 1.5 to 3.5. Brings hands-on experience with media investment planning, agency transitions, campaign measurement, and AI-assisted promotion analysis, supported by a background in market research and content strategy.</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Team Development</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keepLines/>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Developed affiliate-program strategy and created search/display ad copy using Adobe design software</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Designed and introduced new marketing concepts using graphic 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gecko-job:scout-2895</dc:identifier>
</cp:coreProperties>
</file>