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14+ years of experience developing multichannel strategies, advising executives, managing agency and client relationships, and coordinating work across marketing, sales, finance, and operations. Led an eight-person team supporting growth across the U.S., Canada, and U.K.; evaluated agency value and investment priorities; and built reporting across more than 10 marketing channels. Combines market research, content strategy, and budget oversight with hands-on AI-assisted analysis and workflows that validate outputs against supporting evidence.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gecko-job:scout-2903</dc:identifier>
</cp:coreProperties>
</file>