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marketing technology leader combining paid acquisition, conversion optimization, behavioral analytics, and hands-on AI-assisted development. Increased monthly marketing volume fourfold while improving ROAS from 1.5 to 3.5. Builds GA4 event tracking, tests acquisition funnels, and uses attribution and predictive analysis to guide investment decisions. Experience spans high-volume travel marketing, customer-facing website development, automated multichannel reporting, and scalable marketing systems, with close collaboration across web development, creative, operations, and executive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Set up and managed more than 75 Google Ads/AdWords accounts with combined monthly spend of more than $476,000, supporting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p>
      <w:pPr>
        <w:pStyle w:val="ListBullet"/>
        <w:keepLines/>
        <w:spacing w:before="0" w:after="20" w:line="276" w:lineRule="auto"/>
        <w:ind w:left="259"/>
        <w:jc w:val="left"/>
      </w:pPr>
      <w:r>
        <w:rPr>
          <w:rFonts w:ascii="EB Garamond" w:hAnsi="EB Garamond"/>
          <w:b w:val="0"/>
          <w:sz w:val="22"/>
        </w:rP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gecko-job:153360</dc:identifier>
</cp:coreProperties>
</file>