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Took monthly marketing volume from approximately $200K to $800K and increased ROAS from 1.5 to 3.5, supported by campaign, audience, and conversion optimization. Recent work on custom landing pages, Performance Max content, and multi-business PPC operations adds practical execution and systems experience to performance-focused client strategy.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