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technology leader with 14+ years of experience spanning agency client consulting, SEO, content strategy, e-commerce, and performance analytics. Combines keyword and competitor research, on-page optimization, technical SEO implementation, and hands-on use of generative AI for product content and website development. Built organic-search reporting with Google Search Console and GA4 integrations, automated multichannel analysis, and translated findings into practical business recommendations. Experienced partnering directly with clients and collaborating with web, content, creative, and leadership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Google Tag Manager • Google Ads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gecko-job:scout-2905</dc:identifier>
</cp:coreProperties>
</file>