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Performance marketing specialist with a strong technical foundation in measurement and e-commerce operations. Managed 75+ Google Ads accounts while advising clients on channel allocation, campaign structure, and growth priorities. Implemented Go High Level, trained employees, and integrated existing systems with Power BI reporting.</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SEO &amp; SEM Strategy</w:t>
            </w:r>
          </w:p>
        </w:tc>
      </w:tr>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Cross-Functional Leadership</w:t>
            </w:r>
          </w:p>
        </w:tc>
      </w:tr>
      <w:tr>
        <w:tc>
          <w:tcPr>
            <w:tcW w:type="dxa" w:w="5400"/>
          </w:tcPr>
          <w:p>
            <w:pPr>
              <w:pStyle w:val="ListBullet"/>
              <w:spacing w:after="0" w:line="276" w:lineRule="auto"/>
            </w:pPr>
            <w:r/>
            <w:r>
              <w:rPr>
                <w:rFonts w:ascii="EB Garamond" w:hAnsi="EB Garamond"/>
                <w:sz w:val="22"/>
              </w:rPr>
              <w:t>E-Commerce Strategy</w:t>
            </w:r>
          </w:p>
        </w:tc>
        <w:tc>
          <w:tcPr>
            <w:tcW w:type="dxa" w:w="5400"/>
          </w:tcPr>
          <w:p>
            <w:pPr>
              <w:pStyle w:val="ListBullet"/>
              <w:spacing w:after="0" w:line="276" w:lineRule="auto"/>
            </w:pPr>
            <w:r/>
            <w:r>
              <w:rPr>
                <w:rFonts w:ascii="EB Garamond" w:hAnsi="EB Garamond"/>
                <w:sz w:val="22"/>
              </w:rPr>
              <w:t>Conversion Rate Optimization</w:t>
            </w:r>
          </w:p>
        </w:tc>
      </w:tr>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Lead Generation</w:t>
            </w:r>
          </w:p>
        </w:tc>
      </w:tr>
      <w:tr>
        <w:tc>
          <w:tcPr>
            <w:tcW w:type="dxa" w:w="5400"/>
          </w:tcPr>
          <w:p>
            <w:pPr>
              <w:pStyle w:val="ListBullet"/>
              <w:spacing w:after="0" w:line="276" w:lineRule="auto"/>
            </w:pPr>
            <w:r/>
            <w:r>
              <w:rPr>
                <w:rFonts w:ascii="EB Garamond" w:hAnsi="EB Garamond"/>
                <w:sz w:val="22"/>
              </w:rPr>
              <w:t>Campaign Optimization</w:t>
            </w:r>
          </w:p>
        </w:tc>
        <w:tc>
          <w:tcPr>
            <w:tcW w:type="dxa" w:w="5400"/>
          </w:tcPr>
          <w:p>
            <w:pPr>
              <w:pStyle w:val="ListBullet"/>
              <w:spacing w:after="0" w:line="276" w:lineRule="auto"/>
            </w:pPr>
            <w:r/>
            <w:r>
              <w:rPr>
                <w:rFonts w:ascii="EB Garamond" w:hAnsi="EB Garamond"/>
                <w:sz w:val="22"/>
              </w:rPr>
              <w:t>A/B &amp; Multivariate Testing</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keepNext/>
        <w:spacing w:before="0" w:after="20" w:line="276" w:lineRule="auto"/>
        <w:ind w:left="259"/>
        <w:jc w:val="left"/>
      </w:pPr>
      <w:r>
        <w:rPr>
          <w:rFonts w:ascii="EB Garamond" w:hAnsi="EB Garamond"/>
          <w:b w:val="0"/>
          <w:sz w:val="22"/>
        </w:rPr>
        <w:t>Helped facilitate the transition of four to five agency relationships in-house, evaluating agency cost structures, prioritization, automation approaches, and the impact of newer Google machine-learning capabilities on legacy rule-based systems.</w:t>
      </w:r>
    </w:p>
    <w:p>
      <w:pPr>
        <w:pStyle w:val="ListBulle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p>
      <w:pPr>
        <w:pStyle w:val="ListBulle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Converted and interpreted JSON results to data-mine SERP</w:t>
      </w:r>
    </w:p>
    <w:p>
      <w:pPr>
        <w:pStyle w:val="ListBulle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Applied project-by-project cost-benefit analysis to prioritize growth initiatives, marketplace opportunities, product investments, and operational improvements.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Used industry-leading analytical tools to study account performance and make data-driven recommendations.</w:t>
      </w:r>
    </w:p>
    <w:p>
      <w:pPr>
        <w:pStyle w:val="ListBullet"/>
        <w:spacing w:before="0" w:after="20" w:line="276" w:lineRule="auto"/>
        <w:ind w:left="259"/>
        <w:jc w:val="left"/>
      </w:pPr>
      <w:r>
        <w:rPr>
          <w:rFonts w:ascii="EB Garamond" w:hAnsi="EB Garamond"/>
          <w:b w:val="0"/>
          <w:sz w:val="22"/>
        </w:rPr>
        <w:t>Built Funnel.io reporting pipelines and presented consolidated performance data in Google Data/Looker Studio.</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Created business goals, annual projections, and KPIs with senior management and reported data from Magento, Google Analytics, ACCTivate, QuickBooks, and advertising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keepNex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pStyle w:val="ListBullet"/>
        <w:spacing w:before="0" w:after="20" w:line="276" w:lineRule="auto"/>
        <w:ind w:left="259"/>
        <w:jc w:val="left"/>
      </w:pPr>
      <w:r>
        <w:rPr>
          <w:rFonts w:ascii="EB Garamond" w:hAnsi="EB Garamond"/>
          <w:b w:val="0"/>
          <w:sz w:val="22"/>
        </w:rPr>
        <w:t>Developed and managed the firm's content management strategy. The aspects of this strategy included content timing, content type, placement (blogs, mail, e-mail, website), content focus, content personalization, etc</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Search Console • Google Analytics 4 • Google Tag Manager • Google Ads • Google Ads Editor • Google Ads API • Microsoft Ads • Looker Studio</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gecko-job:d673936c-9a02-41aa-a007-a6edbb86b09d</dc:identifier>
</cp:coreProperties>
</file>