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and technology leader with 14+ years across agency, in-house, B2B, and e-commerce environments. Combines client strategy, SEO, conversion analysis, and hands-on development with Claude Code, ChatGPT, Python, and APIs. Built AI-supported marketing workflows integrating Search Console insights, evidence-checked recommendations, and recurring reporting; implemented technical SEO and automated product-content workflows. Experience includes agency-wide adoption of a repeatable account-management system, automated reporting across 10+ channels, and improving marketing ROAS from 1.5 to 3.5 while increasing monthly volume fourfold.</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keepLines/>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keepLines/>
        <w:spacing w:before="0" w:after="20" w:line="276" w:lineRule="auto"/>
        <w:ind w:left="259"/>
        <w:jc w:val="left"/>
      </w:pPr>
      <w:r>
        <w:rPr>
          <w:rFonts w:ascii="EB Garamond" w:hAnsi="EB Garamond"/>
          <w:b w:val="0"/>
          <w:sz w:val="22"/>
        </w:rPr>
        <w:t>Set up human assisted automation with JavaScript on certain campaigns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ChatGPT • Claude • Gemini • Perplexity • Google Analytics 4 • Google Tag Manager • Google Search Console • Google Ads • Google Ads Editor • Amazon Vendor Central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gecko-job:scout-2939</dc:identifier>
</cp:coreProperties>
</file>