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Managed 75+ Google Ads accounts while advising clients on channel allocation, campaign structure, and growth priorities. Built a headless e-commerce retail website with React and Next.js and connected Shopify directly to manufacturer databases.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Studied each client's account using industry leading analytical software to make data-driven recommendations</w:t>
      </w:r>
    </w:p>
    <w:p>
      <w:pPr>
        <w:pStyle w:val="ListBullet"/>
        <w:spacing w:before="0" w:after="20" w:line="276" w:lineRule="auto"/>
        <w:ind w:left="259"/>
        <w:jc w:val="left"/>
      </w:pPr>
      <w:r>
        <w:rPr>
          <w:rFonts w:ascii="EB Garamond" w:hAnsi="EB Garamond"/>
          <w:b w:val="0"/>
          <w:sz w:val="22"/>
        </w:rPr>
        <w:t>Built Funnel.io and Looker Studio reporting, created automated monitoring scripts, and developed a repeatable account-management system adopted across the agency.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Google Tag Manager • Amazon Vendor Central • Google Ads • Microsoft Ads • Google Analytics 4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gecko-job:2eca0f29-73b7-4a28-9cce-a571bf2488bf</dc:identifier>
</cp:coreProperties>
</file>