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Scaled monthly marketing volume from approximately $200K to $800K while improving ROAS from 1.5 to 3.5.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Google Analytics 4 • Google Tag Manager • Google Ads • Google Search Console • Google Ads Editor • Meta Ads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gecko-job:c9a4febc-e861-4ff8-a788-b68b0acb3782</dc:identifier>
</cp:coreProperties>
</file>