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Advised clients directly on business goals and how to allocate marketing funds across website development, SEO, email, paid search, display, mobile, remarketing, YouTube, and social media.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Microsoft Ads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gecko-job:a65e967a-88c8-40c2-b60b-6dad0a6fdfea</dc:identifier>
</cp:coreProperties>
</file>