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14+ years of agency and in-house experience translating business objectives and audience research into multichannel strategies, content, and measurable results. Advises clients and executives on marketing priorities, coordinates across creative, web, operations, and finance teams, and leads initiatives from planning through execution and performance improvement. Experience includes developing firm-wide marketing plans, managing content across web, email, blogs, and direct mail, leading an eight-person team, and increasing monthly marketing volume fourfold while improving ROAS from 1.5 to 3.5.</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Following successful optimization work, evaluated management’s question of where and why to invest an additional $10 million. Used regression models based on prior-year and prior-period data to forecast outcomes and support investment recommendations involving holdouts, geographic promotional offers, scale-ups, scale-downs, and budget reallocations across channels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the firm’s overall marketing plan and new strategies, advising executives on key</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VS Code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gecko-job:scout-2924</dc:identifier>
</cp:coreProperties>
</file>