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leader with 14+ years of experience across agency, in-house, B2B, and B2C environments. Combines integrated campaign planning with audience research, cross-functional execution, and performance analysis. Led an eight-person e-commerce department, advised senior leadership on annual projections and KPIs, and developed content strategies spanning websites, email, blogs, and direct mail.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Google Ads • Microsoft Ads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gecko-job:27498c387e6039ee</dc:identifier>
</cp:coreProperties>
</file>