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marketer with hands-on experience managing Google Ads and Microsoft Ads at scale, including $3.6 million in monthly spend for a single brand. Increased marketing volume fourfold while improving ROAS from 1.5 to 3.5 through bidding, audience analysis, campaign testing, budget allocation, and conversion review. Combines acquisition execution with forecasting, customer lifetime value analysis, funnel experimentation, and attribution analysis. Builds GA4 and Google Tag Manager measurement and Looker Studio reporting, with experience collaborating on website performance, SEO, and data automation.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Looker Studio • Google Analytics 4 • Google Tag Manager • Google Search Console • Google Ads Editor • Meta Ads • Google Ads API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gecko-job:scout-2936</dc:identifier>
</cp:coreProperties>
</file>