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market research and business planning to help establish tax and finance departments that contributed more than 25% of firm revenue.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gecko-job:2e8674cc-6c9c-4564-aa21-4d205b9b349a</dc:identifier>
</cp:coreProperties>
</file>