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Scaled monthly marketing volume from approximately $200K to $800K while improving ROAS from 1.5 to 3.5.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gecko-job:8f15dceb-3827-4f41-99d5-53d77b4f550c</dc:identifier>
</cp:coreProperties>
</file>