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manager with a record of handling complex account operations, substantial budgets, and team delivery. Managed up to $30 million per month in paid media with a four-person team, combining account operations with budget oversight.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p>
      <w:pPr>
        <w:pStyle w:val="ListBullet"/>
        <w:spacing w:before="0" w:after="20" w:line="276" w:lineRule="auto"/>
        <w:ind w:left="259"/>
        <w:jc w:val="left"/>
      </w:pPr>
      <w:r>
        <w:rPr>
          <w:rFonts w:ascii="EB Garamond" w:hAnsi="EB Garamond"/>
          <w:b w:val="0"/>
          <w:sz w:val="22"/>
        </w:rPr>
        <w:t>Strategized directly with clients on how to best distribute their marketing funds based on their business needs into different channels including: website development, SEO, email campaigns, Google Ads search, display, mobile, re-marketing, and YouTube campaigns, and all social media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gecko-job:30fca1cd-e8a8-4697-94ed-52af230e6565</dc:identifier>
</cp:coreProperties>
</file>