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market research and business planning to help establish tax and finance departments that contributed more than 25% of firm revenue.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gecko-job:93fb9702-5eb2-4c42-aff7-aa84d3c61f06</dc:identifier>
</cp:coreProperties>
</file>