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Marketing professional with a background in market research, business planning, and cross-functional digital delivery. Scaled monthly marketing volume from approximately $200K to $800K while improving ROAS from 1.5 to 3.5. Implemented Go High Level, trained employees, and integrated existing systems with Power BI reporting.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large AdWords, Bing Ads, Gemini, and Amazon Marketing Services accounts consisting of more than 150 campaigns with a $400,000 budget resulting in more than $9,000,000 in revenue (35% of total revenue)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Tableau dashboards and automated weekly reporting across 10+ channels using Python, Databricks, SQL, Excel, and Funnel.io, improving accuracy and decision speed.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facilitate the transition of four to five agency relationships in-house, evaluating agency cost structures, prioritization, automation approaches, and the impact of newer Google machine-learning capabilities on legacy rule-based systems.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12 accounts, 32 campaigns, approximately 110,000 ad groups, 1.6 million keywords, and approximately $3.6 million in monthly spend for one brand.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keyword, audience, competitive, targeting, and messaging research to support campaign and growth recommendations.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industry-leading analytical tools to study account performance and make data-driven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an eight-person e-commerce department and led paid search, outreach, lead generation, customer acquisition, website performance, and growth across the United States, Canada, and the United Kingdom.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large AdWords, Bing Ads, Gemini, and Amazon Marketing Services accounts consisting of more than 150 campaigns with a $400,000 budget resulting in more than $9,000,000 in revenue (35% of total revenue)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all paper forms into an electronic, interactive format using Acrobat and LiveCycle. This increased all market data and increased the speed of data acquisition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Google Ads • Microsoft Ads • Google Analytics 4 • Google Search Console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gecko-job:2b597ff7-91ef-4416-ae6e-9aa29e85ec7f</dc:identifier>
</cp:coreProperties>
</file>