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E-commerce growth marketer who combines budget discipline with hands-on work on the shopping experience. Used market research and business planning to help establish tax and finance departments that contributed more than 25% of firm revenue. Implemented Go High Level, trained employees, and integrated existing systems with Power BI reporting.</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Data Visualization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Built Tableau dashboards and automated weekly reporting across 10+ channels using Python, Databricks, SQL, Excel, and Funnel.io, improving accuracy and decision speed.</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p>
      <w:pPr>
        <w:pStyle w:val="ListBullet"/>
        <w:spacing w:before="0" w:after="20" w:line="276" w:lineRule="auto"/>
        <w:ind w:left="259"/>
        <w:jc w:val="left"/>
      </w:pPr>
      <w:r>
        <w:rPr>
          <w:rFonts w:ascii="EB Garamond" w:hAnsi="EB Garamond"/>
          <w:b w:val="0"/>
          <w:sz w:val="22"/>
        </w:rPr>
        <w:t>Used industry-leading analytical tools to study account performance and make data-driven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Managed an eight-person e-commerce department and led paid search, outreach, lead generation, customer acquisition, website performance, and growth across the United States, Canada, and the United Kingdom.</w:t>
      </w:r>
    </w:p>
    <w:p>
      <w:pPr>
        <w:pStyle w:val="ListBulle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Converted all paper forms into an electronic, interactive format using Acrobat and LiveCycle. This increased all market data and increased the speed of data acquisition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Google Ads • Microsoft Ads • Google Analytics 4 • Google Search Console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gecko-job:2581cb7c-34d1-43a8-8e3a-1e8c16eedc39</dc:identifier>
</cp:coreProperties>
</file>