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market research and business planning to help establish tax and finance departments that contributed more than 25% of firm revenue.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gecko-job:74d90b13-7637-4487-985e-1f1a3373a79d</dc:identifier>
</cp:coreProperties>
</file>