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Scaled monthly marketing volume from approximately $200K to $800K while improving ROAS from 1.5 to 3.5.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gecko-job:0d68e344-370a-4ef1-a8fe-031f13b4c1b3</dc:identifier>
</cp:coreProperties>
</file>