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Scaled monthly marketing volume from approximately $200K to $800K while improving ROAS from 1.5 to 3.5.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gecko-job:b3998e4c-e82b-4460-92ac-1425b5660051</dc:identifier>
</cp:coreProperties>
</file>