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strategy and analytics leader with 14+ years of experience connecting customer insights, multichannel marketing, and business strategy. Brings customer lifetime value analysis, audience research, funnel experimentation, personalized content strategy, and senior leadership collaboration to customer engagement decisions. Improved ROAS from 1.5 to 3.5 while scaling monthly marketing volume fourfold, guided investment recommendations through predictive analysis, and developed new services with leadership that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gecko-job:scout-2923</dc:identifier>
</cp:coreProperties>
</file>