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Helped introduce tax and finance services that contributed more than 25% of firm revenue, and supported a B2B distributor's expansion into consumer channels while protecting retail relationships. Recent website, CRM, and analytics implementations add technical fluency to that research-led background, with experience translating marketing priorities into practical systems and execution.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Google Ads API • VS Code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