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Performance marketing specialist with a strong technical foundation in measurement and e-commerce operations. Scaled monthly marketing volume from approximately $200K to $800K while improving ROAS from 1.5 to 3.5. Built a headless e-commerce retail website with React and Next.js and connected Shopify directly to manufacturer databases.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SEO &amp; SEM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Campaign Optimization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Conversion Rate Optimization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A/B &amp; Multivariate Testing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Data Visualization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market research and business planning to help establish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complex Tableau dashboards for paid search and helped convert existing Power BI reporting to Tableau.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on SEO best practices and on-page optimization and coordinated marketing priorities with web, operations, creative, and other stakeholders.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and interpreted JSON results to data-mine SERP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competitor research using Python web scraping.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Served as a technology, marketing, cultural-change, team, and thought leader while coordinating with IT, Operations, Finance, Product Development, HR, Sales, and other department heads.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Maintained marketing databases, financial reporting, and cross-channel systems that improved budget visibility, data consistency, collaboration, and decision-making.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Funnel.io reporting pipelines and presented consolidated performance data in Google Data/Looker Studio.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industry-leading analytical tools to study account performance and make data-driven recommendations.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Led an eight-person e-commerce team responsible for paid search, customer acquisition, campaign delivery, website performance, and growth across the U.S., Canada, and U.K.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paper forms into electronic, interactive formats using Adobe Acrobat and LiveCycle, increasing the speed and quantity of market-data acquisition.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content strategy covering timing, content type, placement across blogs/mail/email/web, content focus, and personalization.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Ads • Claude • Google Tag Manager • Google Search Console • Google Ads Editor • Google Ads API • Microsoft Ads • Google Analytics 4 • Bing Ads Editor • Meta Ads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gecko-job:8b86b4a5-0469-432d-8328-bb889b894771</dc:identifier>
</cp:coreProperties>
</file>