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Scaled monthly marketing volume from approximately $200K to $800K while improving ROAS from 1.5 to 3.5.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gecko-job:b0c9e380-a93e-4906-9d45-1da911d08077</dc:identifier>
</cp:coreProperties>
</file>