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Used market research and business planning to help establish tax and finance departments that contributed more than 25% of firm revenue.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Conducted daily financial analysis to identify niches and product opportunities.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spacing w:before="0" w:after="20" w:line="276" w:lineRule="auto"/>
        <w:ind w:left="259"/>
        <w:jc w:val="left"/>
      </w:pPr>
      <w:r>
        <w:rPr>
          <w:rFonts w:ascii="EB Garamond" w:hAnsi="EB Garamond"/>
          <w:b w:val="0"/>
          <w:sz w:val="22"/>
        </w:rPr>
        <w:t>Developed affiliate-program strategy and created search/display ad copy using Adobe design software.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VS Code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gecko-job:5265018007</dc:identifier>
</cp:coreProperties>
</file>