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Scaled monthly marketing volume from approximately $200K to $800K while improving ROAS from 1.5 to 3.5.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Managed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gecko-job:930ed077-a544-4991-850a-7a1f17b3e739</dc:identifier>
</cp:coreProperties>
</file>