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B2B marketing and e-commerce leader with experience navigating growth across sales, operations, technology, and retail partnerships. Scaled monthly marketing volume from approximately $200K to $800K while improving ROAS from 1.5 to 3.5.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holdouts, geo tests, scale-up/down analysis, and budget reallocation scenarios to forecast outcomes and present credible investment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robust spreadsheet-based inventory planning methodology used across multiple departments.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extensively with Amazon Vendor and Seller Central using both FBA and FBM, leading to additional marketplace/consignment initiatives including CastleGate, Target.com, and Costco.com.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e-commerce-specific products with manufacturers and improved supply-chain processes.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 repeatable Google Ads account-management system designed to maintain service quality across clients regardless of spend; the system was adopted by the company.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keyword strategy, bid experiments, landing-page optimization, ad copy, audience analysis, CRO, attribution, and A/B and multivariate testing.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the firm's overall marketing plan and new strategies in coordination with firm management.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Routinely conducted cost/benefit evaluations of marketing initiatives.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Amazon Seller Central • Amazon Vendor Central • Shopify • Magento • Google Ads • Microsoft Ads • Google Analytics 4 • Google Tag Manager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gecko-job:generic-4</dc:identifier>
</cp:coreProperties>
</file>