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0" w:line="276" w:lineRule="auto"/>
        <w:jc w:val="center"/>
      </w:pPr>
      <w:r>
        <w:rPr>
          <w:rFonts w:ascii="EB Garamond" w:hAnsi="EB Garamond"/>
          <w:b w:val="0"/>
          <w:sz w:val="44"/>
        </w:rPr>
        <w:t>Dave Call</w:t>
      </w:r>
    </w:p>
    <w:p>
      <w:pPr>
        <w:spacing w:before="0" w:after="40" w:line="276" w:lineRule="auto"/>
        <w:jc w:val="center"/>
      </w:pPr>
      <w:r>
        <w:rPr>
          <w:rFonts w:ascii="EB Garamond" w:hAnsi="EB Garamond"/>
          <w:b w:val="0"/>
          <w:sz w:val="22"/>
        </w:rPr>
        <w:t>Marketing Technology/AI | Paid Media | E-Commerce | Analytics | Digital Marketing</w:t>
      </w:r>
    </w:p>
    <w:p>
      <w:pPr>
        <w:spacing w:before="0" w:after="60" w:line="276" w:lineRule="auto"/>
        <w:jc w:val="center"/>
      </w:pPr>
      <w:r>
        <w:rPr>
          <w:rFonts w:ascii="EB Garamond" w:hAnsi="EB Garamond"/>
          <w:b w:val="0"/>
          <w:sz w:val="19"/>
        </w:rPr>
        <w:t>American Fork, UT | (530) 507-8269 | mdavidcall@gmail.com | http://www.linkedin.com/in/mdavidcall</w:t>
      </w:r>
    </w:p>
    <w:p>
      <w:pPr>
        <w:keepNext/>
        <w:spacing w:before="100" w:after="40" w:line="276" w:lineRule="auto"/>
        <w:jc w:val="left"/>
        <w:pBdr>
          <w:bottom w:val="single" w:sz="6" w:color="556B2F"/>
        </w:pBdr>
      </w:pPr>
      <w:r>
        <w:rPr>
          <w:rFonts w:ascii="EB Garamond" w:hAnsi="EB Garamond"/>
          <w:b w:val="0"/>
          <w:color w:val="556B2F"/>
          <w:sz w:val="22"/>
        </w:rPr>
        <w:t>PROFESSIONAL SUMMARY</w:t>
      </w:r>
    </w:p>
    <w:p>
      <w:pPr>
        <w:spacing w:before="0" w:after="40" w:line="276" w:lineRule="auto"/>
        <w:jc w:val="left"/>
      </w:pPr>
      <w:r>
        <w:rPr>
          <w:rFonts w:ascii="EB Garamond" w:hAnsi="EB Garamond"/>
          <w:b w:val="0"/>
          <w:sz w:val="22"/>
        </w:rPr>
        <w:t>Growth-oriented paid-media leader experienced in scaling investment while improving returns. Managed up to $30 million per month in paid media with a four-person team, combining account operations with budget oversight. Partnered with web development and content teams on custom landing pages and Performance Max campaign content.</w:t>
      </w:r>
    </w:p>
    <w:p>
      <w:pPr>
        <w:keepNext/>
        <w:spacing w:before="100" w:after="40" w:line="276" w:lineRule="auto"/>
        <w:jc w:val="left"/>
        <w:pBdr>
          <w:bottom w:val="single" w:sz="6" w:color="556B2F"/>
        </w:pBdr>
      </w:pPr>
      <w:r>
        <w:rPr>
          <w:rFonts w:ascii="EB Garamond" w:hAnsi="EB Garamond"/>
          <w:b w:val="0"/>
          <w:color w:val="556B2F"/>
          <w:sz w:val="22"/>
        </w:rPr>
        <w:t>CORE STRENGTHS</w:t>
      </w:r>
    </w:p>
    <w:tbl>
      <w:tblPr>
        <w:tblW w:type="auto" w:w="0"/>
        <w:tblLayout w:type="fixed"/>
        <w:tblLook w:firstColumn="1" w:firstRow="1" w:lastColumn="0" w:lastRow="0" w:noHBand="0" w:noVBand="1" w:val="04A0"/>
        <w:tblBorders>
          <w:top w:val="none"/>
          <w:left w:val="none"/>
          <w:bottom w:val="none"/>
          <w:right w:val="none"/>
          <w:insideH w:val="none"/>
          <w:insideV w:val="none"/>
        </w:tblBorders>
      </w:tblPr>
      <w:tblGrid>
        <w:gridCol w:w="5400"/>
        <w:gridCol w:w="5400"/>
      </w:tblGrid>
      <w:tr>
        <w:tc>
          <w:tcPr>
            <w:tcW w:type="dxa" w:w="5400"/>
          </w:tcPr>
          <w:p>
            <w:pPr>
              <w:pStyle w:val="ListBullet"/>
              <w:spacing w:after="0" w:line="276" w:lineRule="auto"/>
            </w:pPr>
            <w:r/>
            <w:r>
              <w:rPr>
                <w:rFonts w:ascii="EB Garamond" w:hAnsi="EB Garamond"/>
                <w:sz w:val="22"/>
              </w:rPr>
              <w:t>Paid Media Strategy</w:t>
            </w:r>
          </w:p>
        </w:tc>
        <w:tc>
          <w:tcPr>
            <w:tcW w:type="dxa" w:w="5400"/>
          </w:tcPr>
          <w:p>
            <w:pPr>
              <w:pStyle w:val="ListBullet"/>
              <w:spacing w:after="0" w:line="276" w:lineRule="auto"/>
            </w:pPr>
            <w:r/>
            <w:r>
              <w:rPr>
                <w:rFonts w:ascii="EB Garamond" w:hAnsi="EB Garamond"/>
                <w:sz w:val="22"/>
              </w:rPr>
              <w:t>Campaign Optimization</w:t>
            </w:r>
          </w:p>
        </w:tc>
      </w:tr>
      <w:tr>
        <w:tc>
          <w:tcPr>
            <w:tcW w:type="dxa" w:w="5400"/>
          </w:tcPr>
          <w:p>
            <w:pPr>
              <w:pStyle w:val="ListBullet"/>
              <w:spacing w:after="0" w:line="276" w:lineRule="auto"/>
            </w:pPr>
            <w:r/>
            <w:r>
              <w:rPr>
                <w:rFonts w:ascii="EB Garamond" w:hAnsi="EB Garamond"/>
                <w:sz w:val="22"/>
              </w:rPr>
              <w:t>Marketing Analytics</w:t>
            </w:r>
          </w:p>
        </w:tc>
        <w:tc>
          <w:tcPr>
            <w:tcW w:type="dxa" w:w="5400"/>
          </w:tcPr>
          <w:p>
            <w:pPr>
              <w:pStyle w:val="ListBullet"/>
              <w:spacing w:after="0" w:line="276" w:lineRule="auto"/>
            </w:pPr>
            <w:r/>
            <w:r>
              <w:rPr>
                <w:rFonts w:ascii="EB Garamond" w:hAnsi="EB Garamond"/>
                <w:sz w:val="22"/>
              </w:rPr>
              <w:t>Attribution Modeling</w:t>
            </w:r>
          </w:p>
        </w:tc>
      </w:tr>
      <w:tr>
        <w:tc>
          <w:tcPr>
            <w:tcW w:type="dxa" w:w="5400"/>
          </w:tcPr>
          <w:p>
            <w:pPr>
              <w:pStyle w:val="ListBullet"/>
              <w:spacing w:after="0" w:line="276" w:lineRule="auto"/>
            </w:pPr>
            <w:r/>
            <w:r>
              <w:rPr>
                <w:rFonts w:ascii="EB Garamond" w:hAnsi="EB Garamond"/>
                <w:sz w:val="22"/>
              </w:rPr>
              <w:t>Digital Marketing Strategy</w:t>
            </w:r>
          </w:p>
        </w:tc>
        <w:tc>
          <w:tcPr>
            <w:tcW w:type="dxa" w:w="5400"/>
          </w:tcPr>
          <w:p>
            <w:pPr>
              <w:pStyle w:val="ListBullet"/>
              <w:spacing w:after="0" w:line="276" w:lineRule="auto"/>
            </w:pPr>
            <w:r/>
            <w:r>
              <w:rPr>
                <w:rFonts w:ascii="EB Garamond" w:hAnsi="EB Garamond"/>
                <w:sz w:val="22"/>
              </w:rPr>
              <w:t>Performance Marketing</w:t>
            </w:r>
          </w:p>
        </w:tc>
      </w:tr>
      <w:tr>
        <w:tc>
          <w:tcPr>
            <w:tcW w:type="dxa" w:w="5400"/>
          </w:tcPr>
          <w:p>
            <w:pPr>
              <w:pStyle w:val="ListBullet"/>
              <w:spacing w:after="0" w:line="276" w:lineRule="auto"/>
            </w:pPr>
            <w:r/>
            <w:r>
              <w:rPr>
                <w:rFonts w:ascii="EB Garamond" w:hAnsi="EB Garamond"/>
                <w:sz w:val="22"/>
              </w:rPr>
              <w:t>Conversion Rate Optimization</w:t>
            </w:r>
          </w:p>
        </w:tc>
        <w:tc>
          <w:tcPr>
            <w:tcW w:type="dxa" w:w="5400"/>
          </w:tcPr>
          <w:p>
            <w:pPr>
              <w:pStyle w:val="ListBullet"/>
              <w:spacing w:after="0" w:line="276" w:lineRule="auto"/>
            </w:pPr>
            <w:r/>
            <w:r>
              <w:rPr>
                <w:rFonts w:ascii="EB Garamond" w:hAnsi="EB Garamond"/>
                <w:sz w:val="22"/>
              </w:rPr>
              <w:t>E-Commerce Strategy</w:t>
            </w:r>
          </w:p>
        </w:tc>
      </w:tr>
      <w:tr>
        <w:tc>
          <w:tcPr>
            <w:tcW w:type="dxa" w:w="5400"/>
          </w:tcPr>
          <w:p>
            <w:pPr>
              <w:pStyle w:val="ListBullet"/>
              <w:spacing w:after="0" w:line="276" w:lineRule="auto"/>
            </w:pPr>
            <w:r/>
            <w:r>
              <w:rPr>
                <w:rFonts w:ascii="EB Garamond" w:hAnsi="EB Garamond"/>
                <w:sz w:val="22"/>
              </w:rPr>
              <w:t>Cross-Functional Leadership</w:t>
            </w:r>
          </w:p>
        </w:tc>
        <w:tc>
          <w:tcPr>
            <w:tcW w:type="dxa" w:w="5400"/>
          </w:tcPr>
          <w:p>
            <w:pPr>
              <w:pStyle w:val="ListBullet"/>
              <w:spacing w:after="0" w:line="276" w:lineRule="auto"/>
            </w:pPr>
            <w:r/>
            <w:r>
              <w:rPr>
                <w:rFonts w:ascii="EB Garamond" w:hAnsi="EB Garamond"/>
                <w:sz w:val="22"/>
              </w:rPr>
              <w:t>Marketing Automation</w:t>
            </w:r>
          </w:p>
        </w:tc>
      </w:tr>
      <w:tr>
        <w:tc>
          <w:tcPr>
            <w:tcW w:type="dxa" w:w="5400"/>
          </w:tcPr>
          <w:p>
            <w:pPr>
              <w:pStyle w:val="ListBullet"/>
              <w:spacing w:after="0" w:line="276" w:lineRule="auto"/>
            </w:pPr>
            <w:r/>
            <w:r>
              <w:rPr>
                <w:rFonts w:ascii="EB Garamond" w:hAnsi="EB Garamond"/>
                <w:sz w:val="22"/>
              </w:rPr>
              <w:t>Budget Forecasting</w:t>
            </w:r>
          </w:p>
        </w:tc>
        <w:tc>
          <w:tcPr>
            <w:tcW w:type="dxa" w:w="5400"/>
          </w:tcPr>
          <w:p>
            <w:pPr>
              <w:pStyle w:val="ListBullet"/>
              <w:spacing w:after="0" w:line="276" w:lineRule="auto"/>
            </w:pPr>
            <w:r/>
            <w:r>
              <w:rPr>
                <w:rFonts w:ascii="EB Garamond" w:hAnsi="EB Garamond"/>
                <w:sz w:val="22"/>
              </w:rPr>
              <w:t>Customer Acquisition</w:t>
            </w:r>
          </w:p>
        </w:tc>
      </w:tr>
    </w:tbl>
    <w:p>
      <w:pPr>
        <w:keepNext/>
        <w:spacing w:before="100" w:after="40" w:line="276" w:lineRule="auto"/>
        <w:jc w:val="left"/>
        <w:pBdr>
          <w:bottom w:val="single" w:sz="6" w:color="556B2F"/>
        </w:pBdr>
      </w:pPr>
      <w:r>
        <w:rPr>
          <w:rFonts w:ascii="EB Garamond" w:hAnsi="EB Garamond"/>
          <w:b w:val="0"/>
          <w:color w:val="556B2F"/>
          <w:sz w:val="22"/>
        </w:rPr>
        <w:t>SELECTED RESULTS</w:t>
      </w:r>
    </w:p>
    <w:p>
      <w:pPr>
        <w:pStyle w:val="ListBulle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p>
      <w:pPr>
        <w:pStyle w:val="ListBulle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keepNext/>
        <w:spacing w:before="100" w:after="40" w:line="276" w:lineRule="auto"/>
        <w:jc w:val="left"/>
        <w:pBdr>
          <w:bottom w:val="single" w:sz="6" w:color="556B2F"/>
        </w:pBdr>
      </w:pPr>
      <w:r>
        <w:rPr>
          <w:rFonts w:ascii="EB Garamond" w:hAnsi="EB Garamond"/>
          <w:b w:val="0"/>
          <w:color w:val="556B2F"/>
          <w:sz w:val="22"/>
        </w:rPr>
        <w:t>PROFESSIONAL EXPERIENCE</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Marketing Strategist/Analyst - 1-800-Contacts - Draper, UT</w:t>
            </w:r>
          </w:p>
        </w:tc>
        <w:tc>
          <w:tcPr>
            <w:tcW w:type="dxa" w:w="1872"/>
            <w:tcMar>
              <w:top w:w="0" w:type="dxa"/>
              <w:left w:w="0" w:type="dxa"/>
              <w:bottom w:w="0" w:type="dxa"/>
              <w:right w:w="0" w:type="dxa"/>
            </w:tcMar>
          </w:tcPr>
          <w:p>
            <w:pPr>
              <w:keepNext/>
              <w:spacing w:before="0" w:after="0"/>
              <w:jc w:val="right"/>
            </w:pPr>
            <w:r>
              <w:rPr>
                <w:sz w:val="21"/>
              </w:rPr>
              <w:t>Nov 2022–Jun 2023</w:t>
            </w:r>
          </w:p>
        </w:tc>
      </w:tr>
    </w:tbl>
    <w:p>
      <w:pPr>
        <w:pStyle w:val="ListBullet"/>
        <w:keepNext/>
        <w:spacing w:before="0" w:after="20" w:line="276" w:lineRule="auto"/>
        <w:ind w:left="259"/>
        <w:jc w:val="left"/>
      </w:pPr>
      <w:r>
        <w:rPr>
          <w:rFonts w:ascii="EB Garamond" w:hAnsi="EB Garamond"/>
          <w:b w:val="0"/>
          <w:sz w:val="22"/>
        </w:rPr>
        <w:t>Used regression models, prior-year/prior-period data, holdouts, geo-promotional tests, scale-up/down analysis, and budget reallocation scenarios to forecast investment outcomes and support recommendations involving substantial incremental media budgets.</w:t>
      </w:r>
    </w:p>
    <w:p>
      <w:pPr>
        <w:pStyle w:val="ListBullet"/>
        <w:keepNext/>
        <w:spacing w:before="0" w:after="20" w:line="276" w:lineRule="auto"/>
        <w:ind w:left="259"/>
        <w:jc w:val="left"/>
      </w:pPr>
      <w:r>
        <w:rPr>
          <w:rFonts w:ascii="EB Garamond" w:hAnsi="EB Garamond"/>
          <w:b w:val="0"/>
          <w:sz w:val="22"/>
        </w:rPr>
        <w:t>Analyzed max CPC versus smart bidding, brand CPC optimization, non-brand target CPA, Performance Max and Google Shopping mix, audience performance, data-driven attribution, incremental CPA, lifetime value, affiliate commissions, and AI-assisted promotion performance using Namogoo.</w:t>
      </w:r>
    </w:p>
    <w:p>
      <w:pPr>
        <w:pStyle w:val="ListBullet"/>
        <w:spacing w:before="0" w:after="20" w:line="276" w:lineRule="auto"/>
        <w:ind w:left="259"/>
        <w:jc w:val="left"/>
      </w:pPr>
      <w:r>
        <w:rPr>
          <w:rFonts w:ascii="EB Garamond" w:hAnsi="EB Garamond"/>
          <w:b w:val="0"/>
          <w:sz w:val="22"/>
        </w:rPr>
        <w:t>Funnel testing for reach, comparison, conversion (micro-included), and then internal LTV testing, Click-to-Call systems assessment, iSpot Analysis for TV/OTT (reach) campaigns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Digital Marketing - GRIP6 - Midvale, UT</w:t>
            </w:r>
          </w:p>
        </w:tc>
        <w:tc>
          <w:tcPr>
            <w:tcW w:type="dxa" w:w="1872"/>
            <w:tcMar>
              <w:top w:w="0" w:type="dxa"/>
              <w:left w:w="0" w:type="dxa"/>
              <w:bottom w:w="0" w:type="dxa"/>
              <w:right w:w="0" w:type="dxa"/>
            </w:tcMar>
          </w:tcPr>
          <w:p>
            <w:pPr>
              <w:keepNext/>
              <w:spacing w:before="0" w:after="0"/>
              <w:jc w:val="right"/>
            </w:pPr>
            <w:r>
              <w:rPr>
                <w:sz w:val="21"/>
              </w:rPr>
              <w:t>May 2022–Jan 2023</w:t>
            </w:r>
          </w:p>
        </w:tc>
      </w:tr>
    </w:tbl>
    <w:p>
      <w:pPr>
        <w:pStyle w:val="ListBullet"/>
        <w:keepNext/>
        <w:spacing w:before="0" w:after="20" w:line="276" w:lineRule="auto"/>
        <w:ind w:left="259"/>
        <w:jc w:val="left"/>
      </w:pPr>
      <w:r>
        <w:rPr>
          <w:rFonts w:ascii="EB Garamond" w:hAnsi="EB Garamond"/>
          <w:b w:val="0"/>
          <w:sz w:val="22"/>
        </w:rPr>
        <w:t>Increased monthly volume fourfold while improving ROAS from 1.5 to 3.5 through bidding strategy, audience analysis, campaign testing, budget allocation, and conversion review.</w:t>
      </w:r>
    </w:p>
    <w:p>
      <w:pPr>
        <w:pStyle w:val="ListBullet"/>
        <w:keepNext/>
        <w:spacing w:before="0" w:after="20" w:line="276" w:lineRule="auto"/>
        <w:ind w:left="259"/>
        <w:jc w:val="left"/>
      </w:pPr>
      <w:r>
        <w:rPr>
          <w:rFonts w:ascii="EB Garamond" w:hAnsi="EB Garamond"/>
          <w:b w:val="0"/>
          <w:sz w:val="22"/>
        </w:rPr>
        <w:t>Scaled monthly marketing volume from approximately $200,000 to $800,000 while improving ROAS from 1.5 to 3.5 through bidding, audience, budget, campaign, and conversion optimization.</w:t>
      </w:r>
    </w:p>
    <w:p>
      <w:pPr>
        <w:pStyle w:val="ListBullet"/>
        <w:spacing w:before="0" w:after="20" w:line="276" w:lineRule="auto"/>
        <w:ind w:left="259"/>
        <w:jc w:val="left"/>
      </w:pPr>
      <w:r>
        <w:rPr>
          <w:rFonts w:ascii="EB Garamond" w:hAnsi="EB Garamond"/>
          <w:b w:val="0"/>
          <w:sz w:val="22"/>
        </w:rPr>
        <w:t>Configured GA4 and Google Tag Manager measurement and built Looker Studio KPI dashboards for campaign pacing, website performance, inventory planning, and leadership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Digital Marketing Manager - TravelPass Group - South Jordan, UT</w:t>
            </w:r>
          </w:p>
        </w:tc>
        <w:tc>
          <w:tcPr>
            <w:tcW w:type="dxa" w:w="1872"/>
            <w:tcMar>
              <w:top w:w="0" w:type="dxa"/>
              <w:left w:w="0" w:type="dxa"/>
              <w:bottom w:w="0" w:type="dxa"/>
              <w:right w:w="0" w:type="dxa"/>
            </w:tcMar>
          </w:tcPr>
          <w:p>
            <w:pPr>
              <w:keepNext/>
              <w:spacing w:before="0" w:after="0"/>
              <w:jc w:val="right"/>
            </w:pPr>
            <w:r>
              <w:rPr>
                <w:sz w:val="21"/>
              </w:rPr>
              <w:t>Aug 2021–Apr 2022</w:t>
            </w:r>
          </w:p>
        </w:tc>
      </w:tr>
    </w:tbl>
    <w:p>
      <w:pPr>
        <w:pStyle w:val="ListBullet"/>
        <w:keepNext/>
        <w:spacing w:before="0" w:after="20" w:line="276" w:lineRule="auto"/>
        <w:ind w:left="259"/>
        <w:jc w:val="left"/>
      </w:pPr>
      <w:r>
        <w:rPr>
          <w:rFonts w:ascii="EB Garamond" w:hAnsi="EB Garamond"/>
          <w:b w:val="0"/>
          <w:sz w:val="22"/>
        </w:rPr>
        <w:t>Managed up to $30 million per month in paid media with a four-person team at TravelPass Group, supporting high-volume account operations and disciplined budget oversight.</w:t>
      </w:r>
    </w:p>
    <w:p>
      <w:pPr>
        <w:pStyle w:val="ListBullet"/>
        <w:keepNext/>
        <w:spacing w:before="0" w:after="20" w:line="276" w:lineRule="auto"/>
        <w:ind w:left="259"/>
        <w:jc w:val="left"/>
      </w:pPr>
      <w:r>
        <w:rPr>
          <w:rFonts w:ascii="EB Garamond" w:hAnsi="EB Garamond"/>
          <w:b w:val="0"/>
          <w:sz w:val="22"/>
        </w:rPr>
        <w:t>Managed 12 accounts, 32 campaigns, approximately 110,000 ad groups, 1.6 million keywords, and approximately $3.6 million in monthly spend for one brand.</w:t>
      </w:r>
    </w:p>
    <w:p>
      <w:pPr>
        <w:pStyle w:val="ListBullet"/>
        <w:spacing w:before="0" w:after="20" w:line="276" w:lineRule="auto"/>
        <w:ind w:left="259"/>
        <w:jc w:val="left"/>
      </w:pPr>
      <w:r>
        <w:rPr>
          <w:rFonts w:ascii="EB Garamond" w:hAnsi="EB Garamond"/>
          <w:b w:val="0"/>
          <w:sz w:val="22"/>
        </w:rPr>
        <w:t>Automated SERP analysis with Python and used machine-learning models and the Google Ads API to support budgets, bids, ad copy, keyword decisions, and other optimizations.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of E-Commerce/Marketing - Intercon Inc - Salt Lake City, UT</w:t>
            </w:r>
          </w:p>
        </w:tc>
        <w:tc>
          <w:tcPr>
            <w:tcW w:type="dxa" w:w="1872"/>
            <w:tcMar>
              <w:top w:w="0" w:type="dxa"/>
              <w:left w:w="0" w:type="dxa"/>
              <w:bottom w:w="0" w:type="dxa"/>
              <w:right w:w="0" w:type="dxa"/>
            </w:tcMar>
          </w:tcPr>
          <w:p>
            <w:pPr>
              <w:keepNext/>
              <w:spacing w:before="0" w:after="0"/>
              <w:jc w:val="right"/>
            </w:pPr>
            <w:r>
              <w:rPr>
                <w:sz w:val="21"/>
              </w:rPr>
              <w:t>Feb 2018–Feb 2020</w:t>
            </w:r>
          </w:p>
        </w:tc>
      </w:tr>
    </w:tbl>
    <w:p>
      <w:pPr>
        <w:pStyle w:val="ListBullet"/>
        <w:keepNext/>
        <w:spacing w:before="0" w:after="20" w:line="276" w:lineRule="auto"/>
        <w:ind w:left="259"/>
        <w:jc w:val="left"/>
      </w:pPr>
      <w:r>
        <w:rPr>
          <w:rFonts w:ascii="EB Garamond" w:hAnsi="EB Garamond"/>
          <w:b w:val="0"/>
          <w:sz w:val="22"/>
        </w:rPr>
        <w:t>Maintained marketing databases, financial reporting, and cross-channel systems that improved budget visibility, data consistency, collaboration, and decision-making.</w:t>
      </w:r>
    </w:p>
    <w:p>
      <w:pPr>
        <w:pStyle w:val="ListBullet"/>
        <w:keepNext/>
        <w:spacing w:before="0" w:after="20" w:line="276" w:lineRule="auto"/>
        <w:ind w:left="259"/>
        <w:jc w:val="left"/>
      </w:pPr>
      <w:r>
        <w:rPr>
          <w:rFonts w:ascii="EB Garamond" w:hAnsi="EB Garamond"/>
          <w:b w:val="0"/>
          <w:sz w:val="22"/>
        </w:rPr>
        <w:t>Managed a virtually unlimited budget based on a project-by-project cost/benefits analysis</w:t>
      </w:r>
    </w:p>
    <w:p>
      <w:pPr>
        <w:pStyle w:val="ListBullet"/>
        <w:spacing w:before="0" w:after="20" w:line="276" w:lineRule="auto"/>
        <w:ind w:left="259"/>
        <w:jc w:val="left"/>
      </w:pPr>
      <w:r>
        <w:rPr>
          <w:rFonts w:ascii="EB Garamond" w:hAnsi="EB Garamond"/>
          <w:b w:val="0"/>
          <w:sz w:val="22"/>
        </w:rPr>
        <w:t>Applied project-by-project cost-benefit analysis to prioritize growth initiatives, marketplace opportunities, product investments, and operational improvements.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SEM Manager/Project Manager - The Infinite Agency - Dallas, TX</w:t>
            </w:r>
          </w:p>
        </w:tc>
        <w:tc>
          <w:tcPr>
            <w:tcW w:type="dxa" w:w="1872"/>
            <w:tcMar>
              <w:top w:w="0" w:type="dxa"/>
              <w:left w:w="0" w:type="dxa"/>
              <w:bottom w:w="0" w:type="dxa"/>
              <w:right w:w="0" w:type="dxa"/>
            </w:tcMar>
          </w:tcPr>
          <w:p>
            <w:pPr>
              <w:keepNext/>
              <w:spacing w:before="0" w:after="0"/>
              <w:jc w:val="right"/>
            </w:pPr>
            <w:r>
              <w:rPr>
                <w:sz w:val="21"/>
              </w:rPr>
              <w:t>Sep 2016–Feb 2018</w:t>
            </w:r>
          </w:p>
        </w:tc>
      </w:tr>
    </w:tbl>
    <w:p>
      <w:pPr>
        <w:pStyle w:val="ListBullet"/>
        <w:keepNext/>
        <w:spacing w:before="0" w:after="20" w:line="276" w:lineRule="auto"/>
        <w:ind w:left="259"/>
        <w:jc w:val="left"/>
      </w:pPr>
      <w:r>
        <w:rPr>
          <w:rFonts w:ascii="EB Garamond" w:hAnsi="EB Garamond"/>
          <w:b w:val="0"/>
          <w:sz w:val="22"/>
        </w:rPr>
        <w:t>Managed 75+ Google Ads accounts and more than $276K in monthly spend across search, display, mobile, remarketing, YouTube, lead generation, and multi-channel client programs.</w:t>
      </w:r>
    </w:p>
    <w:p>
      <w:pPr>
        <w:pStyle w:val="ListBullet"/>
        <w:keepNext/>
        <w:spacing w:before="0" w:after="20" w:line="276" w:lineRule="auto"/>
        <w:ind w:left="259"/>
        <w:jc w:val="left"/>
      </w:pPr>
      <w:r>
        <w:rPr>
          <w:rFonts w:ascii="EB Garamond" w:hAnsi="EB Garamond"/>
          <w:b w:val="0"/>
          <w:sz w:val="22"/>
        </w:rPr>
        <w:t>Consulted directly with clients on business goals, pain points, budget allocation, campaign structure, SEO, website, email, social, and paid media opportunities.</w:t>
      </w:r>
    </w:p>
    <w:p>
      <w:pPr>
        <w:pStyle w:val="ListBullet"/>
        <w:spacing w:before="0" w:after="20" w:line="276" w:lineRule="auto"/>
        <w:ind w:left="259"/>
        <w:jc w:val="left"/>
      </w:pPr>
      <w:r>
        <w:rPr>
          <w:rFonts w:ascii="EB Garamond" w:hAnsi="EB Garamond"/>
          <w:b w:val="0"/>
          <w:sz w:val="22"/>
        </w:rPr>
        <w:t>Managed 75+ Google Ads accounts with more than $276,000 in combined monthly spend while advising clients on channel allocation, campaign structure, and growth priorities.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E-Commerce Manager - LifeSpan Fitness - Salt Lake City, UT</w:t>
            </w:r>
          </w:p>
        </w:tc>
        <w:tc>
          <w:tcPr>
            <w:tcW w:type="dxa" w:w="1872"/>
            <w:tcMar>
              <w:top w:w="0" w:type="dxa"/>
              <w:left w:w="0" w:type="dxa"/>
              <w:bottom w:w="0" w:type="dxa"/>
              <w:right w:w="0" w:type="dxa"/>
            </w:tcMar>
          </w:tcPr>
          <w:p>
            <w:pPr>
              <w:keepNext/>
              <w:spacing w:before="0" w:after="0"/>
              <w:jc w:val="right"/>
            </w:pPr>
            <w:r>
              <w:rPr>
                <w:sz w:val="21"/>
              </w:rPr>
              <w:t>Jul 2014–Sep 2016</w:t>
            </w:r>
          </w:p>
        </w:tc>
      </w:tr>
    </w:tbl>
    <w:p>
      <w:pPr>
        <w:pStyle w:val="ListBullet"/>
        <w:keepNext/>
        <w:spacing w:before="0" w:after="20" w:line="276" w:lineRule="auto"/>
        <w:ind w:left="259"/>
        <w:jc w:val="left"/>
      </w:pPr>
      <w:r>
        <w:rPr>
          <w:rFonts w:ascii="EB Garamond" w:hAnsi="EB Garamond"/>
          <w:b w:val="0"/>
          <w:sz w:val="22"/>
        </w:rPr>
        <w:t>Managed approximately $400,000 in media budget that generated more than $9 million in revenue, representing approximately 35% of total company revenue.</w:t>
      </w:r>
    </w:p>
    <w:p>
      <w:pPr>
        <w:pStyle w:val="ListBullet"/>
        <w:keepNext/>
        <w:spacing w:before="0" w:after="20" w:line="276" w:lineRule="auto"/>
        <w:ind w:left="259"/>
        <w:jc w:val="left"/>
      </w:pPr>
      <w:r>
        <w:rPr>
          <w:rFonts w:ascii="EB Garamond" w:hAnsi="EB Garamond"/>
          <w:b w:val="0"/>
          <w:sz w:val="22"/>
        </w:rPr>
        <w:t>Led an eight-person e-commerce team responsible for paid search, customer acquisition, campaign delivery, website performance, and growth across the U.S., Canada, and U.K.</w:t>
      </w:r>
    </w:p>
    <w:p>
      <w:pPr>
        <w:pStyle w:val="ListBullet"/>
        <w:spacing w:before="0" w:after="20" w:line="276" w:lineRule="auto"/>
        <w:ind w:left="259"/>
        <w:jc w:val="left"/>
      </w:pPr>
      <w:r>
        <w:rPr>
          <w:rFonts w:ascii="EB Garamond" w:hAnsi="EB Garamond"/>
          <w:b w:val="0"/>
          <w:sz w:val="22"/>
        </w:rPr>
        <w:t>Created annual projections and KPI reporting with senior leadership and used platform, analytics, Magento, accounting, and competitive data to guide budget and campaign decisions.</w:t>
      </w: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8928"/>
        <w:gridCol w:w="1872"/>
      </w:tblGrid>
      <w:tr>
        <w:tc>
          <w:tcPr>
            <w:tcW w:type="dxa" w:w="8928"/>
            <w:tcMar>
              <w:top w:w="0" w:type="dxa"/>
              <w:left w:w="0" w:type="dxa"/>
              <w:bottom w:w="0" w:type="dxa"/>
              <w:right w:w="0" w:type="dxa"/>
            </w:tcMar>
          </w:tcPr>
          <w:p>
            <w:pPr>
              <w:keepNext/>
              <w:spacing w:before="0" w:after="0"/>
            </w:pPr>
            <w:r>
              <w:rPr>
                <w:b/>
                <w:sz w:val="21"/>
              </w:rPr>
              <w:t>Director, Marketing Strategy &amp; Development - Bowen Law Professional Group - Salt Lake City, UT</w:t>
            </w:r>
          </w:p>
        </w:tc>
        <w:tc>
          <w:tcPr>
            <w:tcW w:type="dxa" w:w="1872"/>
            <w:tcMar>
              <w:top w:w="0" w:type="dxa"/>
              <w:left w:w="0" w:type="dxa"/>
              <w:bottom w:w="0" w:type="dxa"/>
              <w:right w:w="0" w:type="dxa"/>
            </w:tcMar>
          </w:tcPr>
          <w:p>
            <w:pPr>
              <w:keepNext/>
              <w:spacing w:before="0" w:after="0"/>
              <w:jc w:val="right"/>
            </w:pPr>
            <w:r>
              <w:rPr>
                <w:sz w:val="21"/>
              </w:rPr>
              <w:t>Jan 2009–Jun 2013</w:t>
            </w:r>
          </w:p>
        </w:tc>
      </w:tr>
    </w:tbl>
    <w:p>
      <w:pPr>
        <w:pStyle w:val="ListBullet"/>
        <w:keepNext/>
        <w:spacing w:before="0" w:after="20" w:line="276" w:lineRule="auto"/>
        <w:ind w:left="259"/>
        <w:jc w:val="left"/>
      </w:pPr>
      <w:r>
        <w:rPr>
          <w:rFonts w:ascii="EB Garamond" w:hAnsi="EB Garamond"/>
          <w:b w:val="0"/>
          <w:sz w:val="22"/>
        </w:rPr>
        <w:t>Worked at a wealth management firm with more than 20 attorneys, financial planners, and CPAs. Worked directly with firm executives, and consulted them on key business decisions related to the overall marketing strategy of the firm. Worked closely with high net-worth clients and owners of medium to large-sized businesses across the country.</w:t>
      </w:r>
    </w:p>
    <w:p>
      <w:pPr>
        <w:pStyle w:val="ListBullet"/>
        <w:keepNext/>
        <w:spacing w:before="0" w:after="20" w:line="276" w:lineRule="auto"/>
        <w:ind w:left="259"/>
        <w:jc w:val="left"/>
      </w:pPr>
      <w:r>
        <w:rPr>
          <w:rFonts w:ascii="EB Garamond" w:hAnsi="EB Garamond"/>
          <w:b w:val="0"/>
          <w:sz w:val="22"/>
        </w:rPr>
        <w:t>Developed and managed content strategy covering timing, content type, placement across blogs/mail/email/web, content focus, and personalization.</w:t>
      </w:r>
    </w:p>
    <w:p>
      <w:pPr>
        <w:pStyle w:val="ListBullet"/>
        <w:spacing w:before="0" w:after="20" w:line="276" w:lineRule="auto"/>
        <w:ind w:left="259"/>
        <w:jc w:val="left"/>
      </w:pPr>
      <w:r>
        <w:rPr>
          <w:rFonts w:ascii="EB Garamond" w:hAnsi="EB Garamond"/>
          <w:b w:val="0"/>
          <w:sz w:val="22"/>
        </w:rPr>
        <w:t>Converted paper forms into electronic, interactive formats using Adobe Acrobat and LiveCycle, increasing the speed and quantity of market-data acquisition.</w:t>
      </w:r>
    </w:p>
    <w:p>
      <w:pPr>
        <w:keepNext/>
        <w:spacing w:before="100" w:after="40" w:line="276" w:lineRule="auto"/>
        <w:jc w:val="left"/>
        <w:pBdr>
          <w:bottom w:val="single" w:sz="6" w:color="556B2F"/>
        </w:pBdr>
      </w:pPr>
      <w:r>
        <w:rPr>
          <w:rFonts w:ascii="EB Garamond" w:hAnsi="EB Garamond"/>
          <w:b w:val="0"/>
          <w:color w:val="556B2F"/>
          <w:sz w:val="22"/>
        </w:rPr>
        <w:t>TOOLS &amp; PLATFORMS</w:t>
      </w:r>
    </w:p>
    <w:p>
      <w:pPr>
        <w:spacing w:before="0" w:after="40" w:line="276" w:lineRule="auto"/>
        <w:jc w:val="left"/>
      </w:pPr>
      <w:r>
        <w:rPr>
          <w:rFonts w:ascii="EB Garamond" w:hAnsi="EB Garamond"/>
          <w:b w:val="0"/>
          <w:sz w:val="22"/>
        </w:rPr>
        <w:t>Google Analytics 4 • Google Tag Manager • Google Ads • Google Search Console • Google Ads Editor • Meta Ads • Amazon Seller Central • Amazon Vendor Central • Google Ads API</w:t>
      </w:r>
    </w:p>
    <w:p>
      <w:pPr>
        <w:keepNext/>
        <w:spacing w:before="100" w:after="40" w:line="276" w:lineRule="auto"/>
        <w:jc w:val="left"/>
        <w:pBdr>
          <w:bottom w:val="single" w:sz="6" w:color="556B2F"/>
        </w:pBdr>
      </w:pPr>
      <w:r>
        <w:rPr>
          <w:rFonts w:ascii="EB Garamond" w:hAnsi="EB Garamond"/>
          <w:b w:val="0"/>
          <w:color w:val="556B2F"/>
          <w:sz w:val="22"/>
        </w:rPr>
        <w:t>EDUCATION &amp; CERTIFICATIONS</w:t>
      </w:r>
    </w:p>
    <w:p>
      <w:pPr>
        <w:spacing w:before="0" w:after="20" w:line="276" w:lineRule="auto"/>
        <w:jc w:val="left"/>
      </w:pPr>
      <w:r>
        <w:rPr>
          <w:rFonts w:ascii="EB Garamond" w:hAnsi="EB Garamond"/>
          <w:b w:val="0"/>
          <w:sz w:val="22"/>
        </w:rPr>
        <w:t>Brigham Young University - Business Management degree - Marketing emphasis, 2008.</w:t>
      </w:r>
    </w:p>
    <w:p>
      <w:pPr>
        <w:spacing w:before="0" w:after="0" w:line="276" w:lineRule="auto"/>
        <w:jc w:val="left"/>
      </w:pPr>
      <w:r>
        <w:rPr>
          <w:rFonts w:ascii="EB Garamond" w:hAnsi="EB Garamond"/>
          <w:b w:val="0"/>
          <w:sz w:val="22"/>
        </w:rPr>
        <w:t>Certifications: Google Ads / Google AdWords; Google Analytics; Microsoft Ads / Bing Ads; Facebook Blueprint; Amazon Marketing Services (AMS)</w:t>
      </w:r>
    </w:p>
    <w:sectPr w:rsidR="00FC693F" w:rsidRPr="0006063C" w:rsidSect="00034616">
      <w:pgSz w:w="12240" w:h="15840"/>
      <w:pgMar w:top="691" w:right="720" w:bottom="691"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0"/>
    </w:pPr>
    <w:rPr>
      <w:rFonts w:ascii="EB Garamond" w:hAnsi="EB Garamond"/>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dc:identifier>gecko-job:acde3355-dd4d-4c26-a01e-f0905d5489f8</dc:identifier>
</cp:coreProperties>
</file>