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Scaled monthly marketing volume from approximately $200K to $800K while improving ROAS from 1.5 to 3.5.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Cursor • Google Analytics 4 • Google Tag Manager • Google Search Console • Google Ads • Google Ads Editor • Meta Ads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gecko-job:3f1cddf50cb9dda6</dc:identifier>
</cp:coreProperties>
</file>