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Scaled monthly marketing volume from approximately $200K to $800K while improving ROAS from 1.5 to 3.5.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gecko-job:faac0dd3-f209-4844-ba2b-372f17e33ad6</dc:identifier>
</cp:coreProperties>
</file>