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B2B/B2C marketing leader with experience coordinating sizeable advertising programs and building repeatable operating structures. Helped modernize a B2B distributor and add B2C e-commerce channels while protecting relationships with 650+ retail partners. Built an in-house PPC structure spanning 32 businesses, including team training, scalable operations, and ERP integration.</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B2B &amp; B2C Marketing</w:t>
            </w:r>
          </w:p>
        </w:tc>
        <w:tc>
          <w:tcPr>
            <w:tcW w:type="dxa" w:w="5400"/>
          </w:tcPr>
          <w:p>
            <w:pPr>
              <w:pStyle w:val="ListBullet"/>
              <w:spacing w:after="0" w:line="276" w:lineRule="auto"/>
            </w:pPr>
            <w:r/>
            <w:r>
              <w:rPr>
                <w:rFonts w:ascii="EB Garamond" w:hAnsi="EB Garamond"/>
                <w:sz w:val="22"/>
              </w:rPr>
              <w:t>Performance Marketing</w:t>
            </w:r>
          </w:p>
        </w:tc>
      </w:tr>
      <w:tr>
        <w:tc>
          <w:tcPr>
            <w:tcW w:type="dxa" w:w="5400"/>
          </w:tcPr>
          <w:p>
            <w:pPr>
              <w:pStyle w:val="ListBullet"/>
              <w:spacing w:after="0" w:line="276" w:lineRule="auto"/>
            </w:pPr>
            <w:r/>
            <w:r>
              <w:rPr>
                <w:rFonts w:ascii="EB Garamond" w:hAnsi="EB Garamond"/>
                <w:sz w:val="22"/>
              </w:rPr>
              <w:t>Marketing Technology</w:t>
            </w:r>
          </w:p>
        </w:tc>
        <w:tc>
          <w:tcPr>
            <w:tcW w:type="dxa" w:w="5400"/>
          </w:tcPr>
          <w:p>
            <w:pPr>
              <w:pStyle w:val="ListBullet"/>
              <w:spacing w:after="0" w:line="276" w:lineRule="auto"/>
            </w:pPr>
            <w:r/>
            <w:r>
              <w:rPr>
                <w:rFonts w:ascii="EB Garamond" w:hAnsi="EB Garamond"/>
                <w:sz w:val="22"/>
              </w:rPr>
              <w:t>Digital Marketing Strategy</w:t>
            </w:r>
          </w:p>
        </w:tc>
      </w:tr>
      <w:tr>
        <w:tc>
          <w:tcPr>
            <w:tcW w:type="dxa" w:w="5400"/>
          </w:tcPr>
          <w:p>
            <w:pPr>
              <w:pStyle w:val="ListBullet"/>
              <w:spacing w:after="0" w:line="276" w:lineRule="auto"/>
            </w:pPr>
            <w:r/>
            <w:r>
              <w:rPr>
                <w:rFonts w:ascii="EB Garamond" w:hAnsi="EB Garamond"/>
                <w:sz w:val="22"/>
              </w:rPr>
              <w:t>Marketing Analytics</w:t>
            </w:r>
          </w:p>
        </w:tc>
        <w:tc>
          <w:tcPr>
            <w:tcW w:type="dxa" w:w="5400"/>
          </w:tcPr>
          <w:p>
            <w:pPr>
              <w:pStyle w:val="ListBullet"/>
              <w:spacing w:after="0" w:line="276" w:lineRule="auto"/>
            </w:pPr>
            <w:r/>
            <w:r>
              <w:rPr>
                <w:rFonts w:ascii="EB Garamond" w:hAnsi="EB Garamond"/>
                <w:sz w:val="22"/>
              </w:rPr>
              <w:t>Cross-Functional Leadership</w:t>
            </w:r>
          </w:p>
        </w:tc>
      </w:tr>
      <w:tr>
        <w:tc>
          <w:tcPr>
            <w:tcW w:type="dxa" w:w="5400"/>
          </w:tcPr>
          <w:p>
            <w:pPr>
              <w:pStyle w:val="ListBullet"/>
              <w:spacing w:after="0" w:line="276" w:lineRule="auto"/>
            </w:pPr>
            <w:r/>
            <w:r>
              <w:rPr>
                <w:rFonts w:ascii="EB Garamond" w:hAnsi="EB Garamond"/>
                <w:sz w:val="22"/>
              </w:rPr>
              <w:t>Marketing Automation</w:t>
            </w:r>
          </w:p>
        </w:tc>
        <w:tc>
          <w:tcPr>
            <w:tcW w:type="dxa" w:w="5400"/>
          </w:tcPr>
          <w:p>
            <w:pPr>
              <w:pStyle w:val="ListBullet"/>
              <w:spacing w:after="0" w:line="276" w:lineRule="auto"/>
            </w:pPr>
            <w:r/>
            <w:r>
              <w:rPr>
                <w:rFonts w:ascii="EB Garamond" w:hAnsi="EB Garamond"/>
                <w:sz w:val="22"/>
              </w:rPr>
              <w:t>Budget Forecasting</w:t>
            </w:r>
          </w:p>
        </w:tc>
      </w:tr>
      <w:tr>
        <w:tc>
          <w:tcPr>
            <w:tcW w:type="dxa" w:w="5400"/>
          </w:tcPr>
          <w:p>
            <w:pPr>
              <w:pStyle w:val="ListBullet"/>
              <w:spacing w:after="0" w:line="276" w:lineRule="auto"/>
            </w:pPr>
            <w:r/>
            <w:r>
              <w:rPr>
                <w:rFonts w:ascii="EB Garamond" w:hAnsi="EB Garamond"/>
                <w:sz w:val="22"/>
              </w:rPr>
              <w:t>Customer Acquisition</w:t>
            </w:r>
          </w:p>
        </w:tc>
        <w:tc>
          <w:tcPr>
            <w:tcW w:type="dxa" w:w="5400"/>
          </w:tcPr>
          <w:p>
            <w:pPr>
              <w:pStyle w:val="ListBullet"/>
              <w:spacing w:after="0" w:line="276" w:lineRule="auto"/>
            </w:pPr>
            <w:r/>
            <w:r>
              <w:rPr>
                <w:rFonts w:ascii="EB Garamond" w:hAnsi="EB Garamond"/>
                <w:sz w:val="22"/>
              </w:rPr>
              <w:t>Lead Generation</w:t>
            </w:r>
          </w:p>
        </w:tc>
      </w:tr>
      <w:tr>
        <w:tc>
          <w:tcPr>
            <w:tcW w:type="dxa" w:w="5400"/>
          </w:tcPr>
          <w:p>
            <w:pPr>
              <w:pStyle w:val="ListBullet"/>
              <w:spacing w:after="0" w:line="276" w:lineRule="auto"/>
            </w:pPr>
            <w:r/>
            <w:r>
              <w:rPr>
                <w:rFonts w:ascii="EB Garamond" w:hAnsi="EB Garamond"/>
                <w:sz w:val="22"/>
              </w:rPr>
              <w:t>Operational Efficiency</w:t>
            </w:r>
          </w:p>
        </w:tc>
        <w:tc>
          <w:tcPr>
            <w:tcW w:type="dxa" w:w="5400"/>
          </w:tcP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Helped modernize a traditional B2B distributor and add multiple B2C e-commerce channels while protecting relationships with 650+ existing retail partners.</w:t>
      </w:r>
    </w:p>
    <w:p>
      <w:pPr>
        <w:pStyle w:val="ListBulle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spacing w:before="0" w:after="20" w:line="276" w:lineRule="auto"/>
        <w:ind w:left="259"/>
        <w:jc w:val="left"/>
      </w:pPr>
      <w:r>
        <w:rPr>
          <w:rFonts w:ascii="EB Garamond" w:hAnsi="EB Garamond"/>
          <w:b w:val="0"/>
          <w:sz w:val="22"/>
        </w:rPr>
        <w:t>Managed large AdWords, Bing Ads, Gemini, and Amazon Marketing Services accounts consisting of more than 150 campaigns with a $400,000 budget resulting in more than $9,000,000 in revenue (35% of total revenue)</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Used regression models, holdouts, geo tests, scale-up/down analysis, and budget reallocation scenarios to forecast outcomes and present credible investment recommendations.</w:t>
      </w:r>
    </w:p>
    <w:p>
      <w:pPr>
        <w:pStyle w:val="ListBullet"/>
        <w:spacing w:before="0" w:after="20" w:line="276" w:lineRule="auto"/>
        <w:ind w:left="259"/>
        <w:jc w:val="left"/>
      </w:pPr>
      <w:r>
        <w:rPr>
          <w:rFonts w:ascii="EB Garamond" w:hAnsi="EB Garamond"/>
          <w:b w:val="0"/>
          <w:sz w:val="22"/>
        </w:rPr>
        <w:t>Evaluated customer journeys from reach and micro-conversions through purchase, click-to-call, and lifetime value to identify scalable search and budget opportunities.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Built Looker Studio KPI reporting for multiple departments, improving transparency for inventory planning, engineering decisions based on reviews, management decisions, website development, email performance, and cross-platform budget management.</w:t>
      </w:r>
    </w:p>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spacing w:before="0" w:after="20" w:line="276" w:lineRule="auto"/>
        <w:ind w:left="259"/>
        <w:jc w:val="left"/>
      </w:pPr>
      <w:r>
        <w:rPr>
          <w:rFonts w:ascii="EB Garamond" w:hAnsi="EB Garamond"/>
          <w:b w:val="0"/>
          <w:sz w:val="22"/>
        </w:rPr>
        <w:t>Consulted on SEO best practices and on-page optimization and coordinated marketing priorities with web, operations, creative, and other stakeholders.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2021–Apr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Managed 12 accounts, 32 campaigns, approximately 110,000 ad groups, 1.6 million keywords, and approximately $3.6 million in monthly spend for one brand.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p>
      <w:pPr>
        <w:pStyle w:val="ListBullet"/>
        <w:keepNex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p>
      <w:pPr>
        <w:pStyle w:val="ListBullet"/>
        <w:spacing w:before="0" w:after="20" w:line="276" w:lineRule="auto"/>
        <w:ind w:left="259"/>
        <w:jc w:val="left"/>
      </w:pPr>
      <w:r>
        <w:rPr>
          <w:rFonts w:ascii="EB Garamond" w:hAnsi="EB Garamond"/>
          <w:b w:val="0"/>
          <w:sz w:val="22"/>
        </w:rPr>
        <w:t>Maintained marketing databases, financial reporting, and cross-channel systems that improved budget visibility, data consistency, collaboration, and decision-making.</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Consulted directly with clients on business goals, pain points, budget allocation, campaign structure, SEO, website, email, social, and paid media opportunities.</w:t>
      </w:r>
    </w:p>
    <w:p>
      <w:pPr>
        <w:pStyle w:val="ListBulle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p>
      <w:pPr>
        <w:pStyle w:val="ListBullet"/>
        <w:spacing w:before="0" w:after="20" w:line="276" w:lineRule="auto"/>
        <w:ind w:left="259"/>
        <w:jc w:val="left"/>
      </w:pPr>
      <w:r>
        <w:rPr>
          <w:rFonts w:ascii="EB Garamond" w:hAnsi="EB Garamond"/>
          <w:b w:val="0"/>
          <w:sz w:val="22"/>
        </w:rPr>
        <w:t>Managed large AdWords, Bing Ads, Gemini, and Amazon Marketing Services accounts consisting of more than 150 campaigns with a $400,000 budget resulting in more than $9,000,000 in revenue (35% of total revenue)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keepNex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pStyle w:val="ListBullet"/>
        <w:spacing w:before="0" w:after="20" w:line="276" w:lineRule="auto"/>
        <w:ind w:left="259"/>
        <w:jc w:val="left"/>
      </w:pPr>
      <w:r>
        <w:rPr>
          <w:rFonts w:ascii="EB Garamond" w:hAnsi="EB Garamond"/>
          <w:b w:val="0"/>
          <w:sz w:val="22"/>
        </w:rPr>
        <w:t>Developed and managed content strategy covering timing, content type, placement across blogs/mail/email/web, content focus, and personalization.</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Tag Manager • Amazon Vendor Central • Google Ads • Microsoft Ads • Google Analytics 4 • Google Search Console • Looker Studio • Tableau</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gecko-job:6c2a6918-b04c-4407-b87c-46090c114bb0</dc:identifier>
</cp:coreProperties>
</file>