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Client-focused marketing strategist with experience translating business priorities into channel investment and campaign structure. Used market research and business planning to help establish tax and finance departments that contributed more than 25% of firm revenue. Partnered with web development and content teams on custom landing pages and Performance Max campaign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Built Tableau dashboards and automated weekly reporting across 10+ channels using Python, Databricks, SQL, Excel, and Funnel.io, improving accuracy and decision speed.</w:t>
      </w:r>
    </w:p>
    <w:p>
      <w:pPr>
        <w:pStyle w:val="ListBulle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p>
      <w:pPr>
        <w:pStyle w:val="ListBullet"/>
        <w:spacing w:before="0" w:after="20" w:line="276" w:lineRule="auto"/>
        <w:ind w:left="259"/>
        <w:jc w:val="left"/>
      </w:pPr>
      <w:r>
        <w:rPr>
          <w:rFonts w:ascii="EB Garamond" w:hAnsi="EB Garamond"/>
          <w:b w:val="0"/>
          <w:sz w:val="22"/>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p>
      <w:pPr>
        <w:pStyle w:val="ListBullet"/>
        <w:spacing w:before="0" w:after="20" w:line="276" w:lineRule="auto"/>
        <w:ind w:left="259"/>
        <w:jc w:val="left"/>
      </w:pPr>
      <w:r>
        <w:rPr>
          <w:rFonts w:ascii="EB Garamond" w:hAnsi="EB Garamond"/>
          <w:b w:val="0"/>
          <w:sz w:val="22"/>
        </w:rPr>
        <w:t>Conducted competitor research using Python web scraping.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p>
      <w:pPr>
        <w:pStyle w:val="ListBullet"/>
        <w:spacing w:before="0" w:after="20" w:line="276" w:lineRule="auto"/>
        <w:ind w:left="259"/>
        <w:jc w:val="left"/>
      </w:pPr>
      <w:r>
        <w:rPr>
          <w:rFonts w:ascii="EB Garamond" w:hAnsi="EB Garamond"/>
          <w:b w:val="0"/>
          <w:sz w:val="22"/>
        </w:rPr>
        <w:t>Studied each client's account using industry leading analytical software to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spacing w:before="0" w:after="20" w:line="276" w:lineRule="auto"/>
        <w:ind w:left="259"/>
        <w:jc w:val="left"/>
      </w:pPr>
      <w:r>
        <w:rPr>
          <w:rFonts w:ascii="EB Garamond" w:hAnsi="EB Garamond"/>
          <w:b w:val="0"/>
          <w:sz w:val="22"/>
        </w:rPr>
        <w:t>Developed and managed the firm's content management strategy. The aspects of this strategy included content timing, content type, placement (blogs, mail, e-mail, website), content focus, content personalization, etc</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Google Analytics 4 • Excel • Google Tag Manager • Google Search Console • Google Ads Editor • Google Ads API • Microsoft Ads • Bing Ads Editor • Meta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gecko-job:01053f9d-bfc0-4183-8832-74cebef931c5</dc:identifier>
</cp:coreProperties>
</file>