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Marketing professional with a background in market research, business planning, and cross-functional digital delivery. Helped modernize a B2B distributor and add B2C e-commerce channels while protecting relationships with 650+ retail partners. Built an in-house PPC structure spanning 32 businesses, including team training, scalable operations, and ERP integration.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Data Visualization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Evaluated customer journeys from reach and micro-conversions through purchase, click-to-call, and lifetime value to identify scalable search and budget opportunities.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Designed and interpreted reach, comparison, conversion, micro-conversion, and internal lifetime-value funnel testing, including click-to-call systems assessment and iSpot analysis for TV/OTT reach campaigns.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competitor research using Python web scraping.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12 accounts, 32 campaigns, approximately 110,000 ad groups, 1.6 million keywords, and approximately $3.6 million in monthly spend for one brand.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keyword, audience, competitive, targeting, and messaging research to support campaign and growth recommendations.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advanced keyword research, channel analysis, trend monitoring, acquisition analysis, conversion-path and funnel analysis, landing-page optimization, and conversion-rate optimization.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paper forms into electronic, interactive formats using Adobe Acrobat and LiveCycle, increasing the speed and quantity of market-data acquisition.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Google Ads • Microsoft Ads • Google Analytics 4 • Google Search Console • Looker Studio • Tableau • Power BI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gecko-job:310c2208-bcd1-4d46-bfbc-8df8201b3a3b</dc:identifier>
</cp:coreProperties>
</file>