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Used market research and business planning to help establish tax and finance departments that contributed more than 25% of firm revenue.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gecko-job:0634a070-06e7-4556-9e8a-cfd285ae896c</dc:identifier>
</cp:coreProperties>
</file>