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Helped modernize a B2B distributor and add B2C e-commerce channels while protecting relationships with 650+ retail partners.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Lifted the company up from a very non-digital, traditional B2B distributor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spacing w:before="0" w:after="20" w:line="276" w:lineRule="auto"/>
        <w:ind w:left="259"/>
        <w:jc w:val="left"/>
      </w:pPr>
      <w:r>
        <w:rPr>
          <w:rFonts w:ascii="EB Garamond" w:hAnsi="EB Garamond"/>
          <w:b w:val="0"/>
          <w:sz w:val="22"/>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Google Analytics 4 • Google Search Console • Power BI • Google Ads Editor • Google Ads API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gecko-job:42a21c7b-20dc-4202-8352-5f48acbcba83</dc:identifier>
</cp:coreProperties>
</file>