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Used market research and business planning to help establish tax and finance departments that contributed more than 25% of firm revenue.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gecko-job:64699dad-8c4d-4ab9-860c-6ae771bf6319</dc:identifier>
</cp:coreProperties>
</file>