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Scaled monthly marketing volume from approximately $200K to $800K while improving ROAS from 1.5 to 3.5.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Google Search Console • Google Ads Editor • Funnel.io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gecko-job:8126756</dc:identifier>
</cp:coreProperties>
</file>