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market research and business planning to help establish tax and finance departments that contributed more than 25% of firm revenue.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gecko-job:4921844101</dc:identifier>
</cp:coreProperties>
</file>