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Hands-on digital marketing professional who connects campaign optimization with measurement and website execution. Scaled monthly marketing volume from approximately $200K to $800K while improving ROAS from 1.5 to 3.5. Built an in-house PPC structure spanning 32 businesses, including team training, scalable operations, and ERP integration.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Data Visualization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Scaled monthly marketing volume from approximately $200,000 to $800,000 while improving ROAS from 1.5 to 3.5 through bidding, audience, budget, campaign,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large AdWords, Bing Ads, Gemini, and Amazon Marketing Services accounts consisting of more than 150 campaigns with a $400,000 budget resulting in more than $9,000,000 in revenue (35% of total revenue)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reach, comparison, conversion, micro-conversion, and internal lifetime-value funnel testing, including click-to-call systems assessment and iSpot analysis for TV/OTT reach campaigns.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Scaled monthly marketing volume from approximately $200,000 to $800,000 while improving ROAS from 1.5 to 3.5 through bidding, audience, budget, campaign, and conversion optimization.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12 accounts, 32 campaigns, approximately 110,000 ad groups, 1.6 million keywords, and approximately $3.6 million in monthly spend for one brand.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Lifted the company up from a very non-digital, traditional B2B distributor to a functional digital environment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competitive, targeting, and messaging research to support campaign and growth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more than 150 campaigns across Google Ads/AdWords, Microsoft/Bing Ads, Yahoo Gemini, Amazon Marketing Services, search, shopping, display, video, remarketing, mobile, social, local, email, and related campaign types.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blogs/mail/email/web, content focus, and personalization.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Ads • Google Ads Editor • Meta Ads • Google Ads API • Microsoft Ads • Google Analytics 4 • Google Tag Manager • Google Search Console • Bing Ads Editor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gecko-job:f2e597c0a4ab9895</dc:identifier>
</cp:coreProperties>
</file>