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marketing leader with a background in client strategy, performance analytics, and connected marketing systems. Built automated reporting across 10+ marketing channels using Python, Databricks, SQL, Excel, and Funnel.io.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and non-brand target CPA, Performance Max and Shopping mix, audience performance, data-driven attribution, and incremental CPA.</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Studied each client's account using industry leading analytical software to make data-driven recommendations</w:t>
      </w:r>
    </w:p>
    <w:p>
      <w:pPr>
        <w:pStyle w:val="ListBullet"/>
        <w:spacing w:before="0" w:after="20" w:line="276" w:lineRule="auto"/>
        <w:ind w:left="259"/>
        <w:jc w:val="left"/>
      </w:pPr>
      <w:r>
        <w:rPr>
          <w:rFonts w:ascii="EB Garamond" w:hAnsi="EB Garamond"/>
          <w:b w:val="0"/>
          <w:sz w:val="22"/>
        </w:rPr>
        <w:t>Conducted keyword and competitive research, developed targeting and messaging recommendations, and created conversion, attribution, A/B, and multivariate testing frameworks.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Amazon Vendor Central • Google Tag Manager • Amazon Seller Central • Google Ads API • Google Ads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gecko-job:6226583004</dc:identifier>
</cp:coreProperties>
</file>