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leader with experience managing large media programs and modernizing commerce systems. Helped modernize a B2B distributor and add B2C e-commerce channels while protecting relationships with 650+ retail partners. Built an in-house PPC structure spanning 32 businesses, including team training, scalable operations, and ERP integration.</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Lead Generation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Helped modernize a traditional B2B distributor and add multiple B2C e-commerce channels while protecting relationships with 650+ existing retail partners.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p>
      <w:pPr>
        <w:pStyle w:val="ListBullet"/>
        <w:spacing w:before="0" w:after="20" w:line="276" w:lineRule="auto"/>
        <w:ind w:left="259"/>
        <w:jc w:val="left"/>
      </w:pPr>
      <w:r>
        <w:rPr>
          <w:rFonts w:ascii="EB Garamond" w:hAnsi="EB Garamond"/>
          <w:b w:val="0"/>
          <w:sz w:val="22"/>
        </w:rPr>
        <w:t>Designed and interpreted reach, comparison, conversion, micro-conversion, and internal lifetime-value funnel testing, including click-to-call systems assessment and iSpot analysis for TV/OTT reach campaigns.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pStyle w:val="ListBulle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Google Ads • Microsoft Ads • Google Analytics 4 • Google Search Console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gecko-job:0353a229-5b7c-483c-9326-289ebb80b31d</dc:identifier>
</cp:coreProperties>
</file>