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Helped modernize a B2B distributor and add B2C e-commerce channels while protecting relationships with 650+ retail partners.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gecko-job:51967157-70f7-40fd-9044-12b39b5a5d1b</dc:identifier>
</cp:coreProperties>
</file>