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Scaled monthly marketing volume from approximately $200K to $800K while improving ROAS from 1.5 to 3.5.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gecko-job:2b597ff7-91ef-4416-ae6e-9aa29e85ec7f</dc:identifier>
</cp:coreProperties>
</file>