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Scaled monthly marketing volume from approximately $200K to $800K while improving ROAS from 1.5 to 3.5.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gecko-job:6bbdd974-4e12-44f7-ac28-0476d79b870e</dc:identifier>
</cp:coreProperties>
</file>